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28" w:rsidRDefault="00461928" w:rsidP="00461928">
      <w:pPr>
        <w:autoSpaceDE w:val="0"/>
        <w:autoSpaceDN w:val="0"/>
        <w:adjustRightInd w:val="0"/>
        <w:spacing w:after="0" w:line="280" w:lineRule="atLeast"/>
        <w:jc w:val="both"/>
        <w:rPr>
          <w:rFonts w:ascii="Arial,Bold" w:hAnsi="Arial,Bold" w:cs="Arial,Bold"/>
          <w:b/>
          <w:bCs/>
          <w:color w:val="000000"/>
          <w:sz w:val="20"/>
          <w:szCs w:val="20"/>
        </w:rPr>
      </w:pPr>
      <w:bookmarkStart w:id="0" w:name="_GoBack"/>
      <w:bookmarkEnd w:id="0"/>
      <w:r>
        <w:rPr>
          <w:rFonts w:ascii="Arial,Bold" w:hAnsi="Arial,Bold" w:cs="Arial,Bold"/>
          <w:b/>
          <w:bCs/>
          <w:color w:val="000000"/>
          <w:sz w:val="20"/>
          <w:szCs w:val="20"/>
        </w:rPr>
        <w:t>Musterbrief „</w:t>
      </w:r>
      <w:r>
        <w:rPr>
          <w:rFonts w:ascii="Arial" w:hAnsi="Arial" w:cs="Arial"/>
          <w:b/>
          <w:bCs/>
          <w:color w:val="000000"/>
          <w:sz w:val="20"/>
          <w:szCs w:val="20"/>
        </w:rPr>
        <w:t>Sperrentgelt Maestro-Karte bzw Kreditkarte</w:t>
      </w:r>
      <w:r>
        <w:rPr>
          <w:rFonts w:ascii="Arial,Bold" w:hAnsi="Arial,Bold" w:cs="Arial,Bold"/>
          <w:b/>
          <w:bCs/>
          <w:color w:val="000000"/>
          <w:sz w:val="20"/>
          <w:szCs w:val="20"/>
        </w:rPr>
        <w:t>“</w:t>
      </w:r>
    </w:p>
    <w:p w:rsidR="00461928" w:rsidRDefault="00461928" w:rsidP="00461928">
      <w:pPr>
        <w:autoSpaceDE w:val="0"/>
        <w:autoSpaceDN w:val="0"/>
        <w:adjustRightInd w:val="0"/>
        <w:spacing w:after="0" w:line="280" w:lineRule="atLeast"/>
        <w:jc w:val="both"/>
        <w:rPr>
          <w:rFonts w:ascii="Arial,Bold" w:hAnsi="Arial,Bold" w:cs="Arial,Bold"/>
          <w:b/>
          <w:bCs/>
          <w:color w:val="000000"/>
          <w:sz w:val="20"/>
          <w:szCs w:val="20"/>
        </w:rPr>
      </w:pPr>
    </w:p>
    <w:p w:rsidR="00461928" w:rsidRDefault="00461928" w:rsidP="00461928">
      <w:pPr>
        <w:autoSpaceDE w:val="0"/>
        <w:autoSpaceDN w:val="0"/>
        <w:adjustRightInd w:val="0"/>
        <w:spacing w:after="0" w:line="280" w:lineRule="atLeast"/>
        <w:jc w:val="both"/>
        <w:rPr>
          <w:rFonts w:ascii="Arial,Bold" w:hAnsi="Arial,Bold" w:cs="Arial,Bold"/>
          <w:b/>
          <w:bCs/>
          <w:color w:val="000000"/>
          <w:sz w:val="20"/>
          <w:szCs w:val="20"/>
        </w:rPr>
      </w:pPr>
    </w:p>
    <w:p w:rsidR="00461928" w:rsidRDefault="00461928" w:rsidP="00461928">
      <w:pPr>
        <w:autoSpaceDE w:val="0"/>
        <w:autoSpaceDN w:val="0"/>
        <w:adjustRightInd w:val="0"/>
        <w:spacing w:after="0" w:line="280" w:lineRule="atLeast"/>
        <w:jc w:val="both"/>
        <w:rPr>
          <w:rFonts w:ascii="Arial,Bold" w:hAnsi="Arial,Bold" w:cs="Arial,Bold"/>
          <w:b/>
          <w:bCs/>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 xml:space="preserve">Hans Muster Wien </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Glückstraße 1</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1020 Wien</w:t>
      </w:r>
    </w:p>
    <w:p w:rsidR="00461928" w:rsidRDefault="00461928" w:rsidP="00461928">
      <w:pPr>
        <w:autoSpaceDE w:val="0"/>
        <w:autoSpaceDN w:val="0"/>
        <w:adjustRightInd w:val="0"/>
        <w:spacing w:after="0" w:line="280" w:lineRule="atLeast"/>
        <w:jc w:val="righ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Datum</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Pr="00B963AF" w:rsidRDefault="00461928" w:rsidP="00461928">
      <w:pPr>
        <w:autoSpaceDE w:val="0"/>
        <w:autoSpaceDN w:val="0"/>
        <w:adjustRightInd w:val="0"/>
        <w:spacing w:after="0" w:line="280" w:lineRule="atLeast"/>
        <w:jc w:val="both"/>
        <w:rPr>
          <w:rFonts w:ascii="Arial" w:hAnsi="Arial" w:cs="Arial"/>
          <w:color w:val="000000"/>
          <w:sz w:val="20"/>
          <w:szCs w:val="20"/>
          <w:u w:val="single"/>
        </w:rPr>
      </w:pPr>
      <w:r w:rsidRPr="00B963AF">
        <w:rPr>
          <w:rFonts w:ascii="Arial" w:hAnsi="Arial" w:cs="Arial"/>
          <w:color w:val="000000"/>
          <w:sz w:val="20"/>
          <w:szCs w:val="20"/>
          <w:u w:val="single"/>
        </w:rPr>
        <w:t>Einschreiben</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Bank XY</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Musterstr.1</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1010 Wien</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b/>
          <w:bCs/>
          <w:color w:val="000000"/>
          <w:sz w:val="20"/>
          <w:szCs w:val="20"/>
        </w:rPr>
      </w:pPr>
      <w:r>
        <w:rPr>
          <w:rFonts w:ascii="Arial" w:hAnsi="Arial" w:cs="Arial"/>
          <w:b/>
          <w:bCs/>
          <w:color w:val="000000"/>
          <w:sz w:val="20"/>
          <w:szCs w:val="20"/>
        </w:rPr>
        <w:t>Betrifft: Sperrentgelt für Sperre der Maestro-Karte/Kreditkarte</w:t>
      </w:r>
    </w:p>
    <w:p w:rsidR="00461928" w:rsidRDefault="00461928" w:rsidP="00461928">
      <w:pPr>
        <w:autoSpaceDE w:val="0"/>
        <w:autoSpaceDN w:val="0"/>
        <w:adjustRightInd w:val="0"/>
        <w:spacing w:after="0" w:line="280" w:lineRule="atLeast"/>
        <w:jc w:val="both"/>
        <w:rPr>
          <w:rFonts w:ascii="Arial" w:hAnsi="Arial" w:cs="Arial"/>
          <w:b/>
          <w:bCs/>
          <w:color w:val="000000"/>
          <w:sz w:val="20"/>
          <w:szCs w:val="20"/>
        </w:rPr>
      </w:pPr>
    </w:p>
    <w:p w:rsidR="00461928" w:rsidRDefault="00461928" w:rsidP="00461928">
      <w:pPr>
        <w:autoSpaceDE w:val="0"/>
        <w:autoSpaceDN w:val="0"/>
        <w:adjustRightInd w:val="0"/>
        <w:spacing w:after="0" w:line="280" w:lineRule="atLeast"/>
        <w:jc w:val="both"/>
        <w:rPr>
          <w:rFonts w:ascii="Arial" w:hAnsi="Arial" w:cs="Arial"/>
          <w:b/>
          <w:bCs/>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Sehr geehrte Damen und Herren!</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 xml:space="preserve">Am 01.01.2010 wurde meine Maestro-Karte/Kreditkarte gesperrt und mir dafür ein Sperrentgelt in der Höhe von xx Euro in Rechnung gestellt.  In einer aktuellen Entscheidung hat der Oberste Gerichtshof (OGH 24.09.2015, 9 Ob 26/15m) festgestellt, dass es sich bei der Sperre um eine Nebenpflicht handelt, die – da sie nicht von der Aufzählung des § 27 Abs 3 ZaDiG erfasst ist – unentgeltlich erbracht werden muss (Entscheidung im Volltext auf </w:t>
      </w:r>
      <w:hyperlink r:id="rId5" w:history="1">
        <w:r w:rsidRPr="00DB6C09">
          <w:rPr>
            <w:rStyle w:val="Hyperlink"/>
            <w:rFonts w:ascii="Arial" w:hAnsi="Arial" w:cs="Arial"/>
            <w:sz w:val="20"/>
            <w:szCs w:val="20"/>
          </w:rPr>
          <w:t>http://wien.arbeiterkammer.at</w:t>
        </w:r>
      </w:hyperlink>
      <w:r>
        <w:rPr>
          <w:rFonts w:ascii="Arial" w:hAnsi="Arial" w:cs="Arial"/>
          <w:color w:val="000000"/>
          <w:sz w:val="20"/>
          <w:szCs w:val="20"/>
        </w:rPr>
        <w:t xml:space="preserve">). Auch die Verrechnung eines bloßen Aufwandsersatzes ist demnach unzulässig. </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 xml:space="preserve">Ich ersuche Sie daher, das rechtsgrundlos verrechnete Sperrentgelt umgehend meinem Konto gutzuschreiben. </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Mit freundlichen Grüßen</w:t>
      </w: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p>
    <w:p w:rsidR="00461928" w:rsidRDefault="00461928" w:rsidP="00461928">
      <w:pPr>
        <w:autoSpaceDE w:val="0"/>
        <w:autoSpaceDN w:val="0"/>
        <w:adjustRightInd w:val="0"/>
        <w:spacing w:after="0" w:line="280" w:lineRule="atLeast"/>
        <w:jc w:val="both"/>
        <w:rPr>
          <w:rFonts w:ascii="Arial" w:hAnsi="Arial" w:cs="Arial"/>
          <w:i/>
          <w:iCs/>
          <w:color w:val="000000"/>
          <w:sz w:val="20"/>
          <w:szCs w:val="20"/>
        </w:rPr>
      </w:pPr>
      <w:r>
        <w:rPr>
          <w:rFonts w:ascii="Arial" w:hAnsi="Arial" w:cs="Arial"/>
          <w:color w:val="000000"/>
          <w:sz w:val="20"/>
          <w:szCs w:val="20"/>
        </w:rPr>
        <w:t xml:space="preserve">Hans Muster </w:t>
      </w:r>
      <w:r>
        <w:rPr>
          <w:rFonts w:ascii="Arial" w:hAnsi="Arial" w:cs="Arial"/>
          <w:i/>
          <w:iCs/>
          <w:color w:val="000000"/>
          <w:sz w:val="20"/>
          <w:szCs w:val="20"/>
        </w:rPr>
        <w:t>(=eigenhändige Unterschrift)</w:t>
      </w:r>
    </w:p>
    <w:p w:rsidR="00461928" w:rsidRDefault="00461928" w:rsidP="00461928">
      <w:pPr>
        <w:autoSpaceDE w:val="0"/>
        <w:autoSpaceDN w:val="0"/>
        <w:adjustRightInd w:val="0"/>
        <w:spacing w:after="0" w:line="280" w:lineRule="atLeast"/>
        <w:jc w:val="both"/>
        <w:rPr>
          <w:rFonts w:ascii="Arial" w:hAnsi="Arial" w:cs="Arial"/>
          <w:i/>
          <w:iCs/>
          <w:color w:val="000000"/>
          <w:sz w:val="20"/>
          <w:szCs w:val="20"/>
        </w:rPr>
      </w:pPr>
    </w:p>
    <w:p w:rsidR="00461928" w:rsidRDefault="00461928" w:rsidP="00461928">
      <w:pPr>
        <w:autoSpaceDE w:val="0"/>
        <w:autoSpaceDN w:val="0"/>
        <w:adjustRightInd w:val="0"/>
        <w:spacing w:after="0" w:line="280" w:lineRule="atLeast"/>
        <w:jc w:val="both"/>
        <w:rPr>
          <w:rFonts w:ascii="Arial" w:hAnsi="Arial" w:cs="Arial"/>
          <w:i/>
          <w:iCs/>
          <w:color w:val="000000"/>
          <w:sz w:val="20"/>
          <w:szCs w:val="20"/>
        </w:rPr>
      </w:pPr>
    </w:p>
    <w:p w:rsidR="00461928" w:rsidRDefault="00461928" w:rsidP="00461928">
      <w:pPr>
        <w:autoSpaceDE w:val="0"/>
        <w:autoSpaceDN w:val="0"/>
        <w:adjustRightInd w:val="0"/>
        <w:spacing w:after="0" w:line="280" w:lineRule="atLeast"/>
        <w:jc w:val="both"/>
        <w:rPr>
          <w:rFonts w:ascii="Arial" w:hAnsi="Arial" w:cs="Arial"/>
          <w:i/>
          <w:iCs/>
          <w:color w:val="000000"/>
          <w:sz w:val="20"/>
          <w:szCs w:val="20"/>
        </w:rPr>
      </w:pPr>
    </w:p>
    <w:p w:rsidR="00461928" w:rsidRDefault="00461928" w:rsidP="00461928">
      <w:pPr>
        <w:autoSpaceDE w:val="0"/>
        <w:autoSpaceDN w:val="0"/>
        <w:adjustRightInd w:val="0"/>
        <w:spacing w:after="0" w:line="280" w:lineRule="atLeast"/>
        <w:jc w:val="both"/>
        <w:rPr>
          <w:rFonts w:ascii="Arial" w:hAnsi="Arial" w:cs="Arial"/>
          <w:color w:val="000000"/>
          <w:sz w:val="24"/>
          <w:szCs w:val="24"/>
        </w:rPr>
      </w:pPr>
      <w:r>
        <w:rPr>
          <w:rFonts w:ascii="Arial" w:hAnsi="Arial" w:cs="Arial"/>
          <w:color w:val="000000"/>
          <w:sz w:val="24"/>
          <w:szCs w:val="24"/>
        </w:rPr>
        <w:t>Wichtige Informationen zum Musterbrief</w:t>
      </w:r>
    </w:p>
    <w:p w:rsidR="00461928" w:rsidRDefault="00461928" w:rsidP="00461928">
      <w:pPr>
        <w:autoSpaceDE w:val="0"/>
        <w:autoSpaceDN w:val="0"/>
        <w:adjustRightInd w:val="0"/>
        <w:spacing w:after="0" w:line="280" w:lineRule="atLeast"/>
        <w:jc w:val="both"/>
        <w:rPr>
          <w:rFonts w:ascii="Arial" w:hAnsi="Arial" w:cs="Arial"/>
          <w:color w:val="000000"/>
          <w:sz w:val="24"/>
          <w:szCs w:val="24"/>
        </w:rPr>
      </w:pPr>
    </w:p>
    <w:p w:rsidR="00461928" w:rsidRDefault="00461928" w:rsidP="00461928">
      <w:pPr>
        <w:autoSpaceDE w:val="0"/>
        <w:autoSpaceDN w:val="0"/>
        <w:adjustRightInd w:val="0"/>
        <w:spacing w:after="0" w:line="280" w:lineRule="atLeast"/>
        <w:jc w:val="both"/>
        <w:rPr>
          <w:rFonts w:ascii="Arial" w:hAnsi="Arial" w:cs="Arial"/>
          <w:color w:val="000000"/>
          <w:sz w:val="20"/>
          <w:szCs w:val="20"/>
        </w:rPr>
      </w:pPr>
      <w:r>
        <w:rPr>
          <w:rFonts w:ascii="Arial" w:hAnsi="Arial" w:cs="Arial"/>
          <w:color w:val="000000"/>
          <w:sz w:val="20"/>
          <w:szCs w:val="20"/>
        </w:rPr>
        <w:t>In der Entscheidung des OGH vom 24.09.2015, 9 Ob 26/15m ( Entscheidung im Volltext auf</w:t>
      </w:r>
    </w:p>
    <w:p w:rsidR="00461928" w:rsidRDefault="00461928" w:rsidP="00461928">
      <w:pPr>
        <w:autoSpaceDE w:val="0"/>
        <w:autoSpaceDN w:val="0"/>
        <w:adjustRightInd w:val="0"/>
        <w:spacing w:after="0" w:line="280" w:lineRule="atLeast"/>
        <w:jc w:val="both"/>
      </w:pPr>
      <w:r>
        <w:rPr>
          <w:rFonts w:ascii="Arial" w:hAnsi="Arial" w:cs="Arial"/>
          <w:color w:val="0000FF"/>
          <w:sz w:val="20"/>
          <w:szCs w:val="20"/>
        </w:rPr>
        <w:t xml:space="preserve">http://wien.arbeiterkammer.at </w:t>
      </w:r>
      <w:r>
        <w:rPr>
          <w:rFonts w:ascii="Arial" w:hAnsi="Arial" w:cs="Arial"/>
          <w:color w:val="000000"/>
          <w:sz w:val="20"/>
          <w:szCs w:val="20"/>
        </w:rPr>
        <w:t xml:space="preserve">) hat der Oberste Gerichtshof festgestellt, dass für die Kartensperre kein Entgelt verrechnet werden darf, und zwar auch dann nicht, wenn es sich nur um einen Ersatz der Kosten handelt, die der Bank selbst entstehen. Die Verrechnung eines Entgelts für die Kartensperre verstößt gegen das Zahlungsdienstegesetz. </w:t>
      </w:r>
    </w:p>
    <w:p w:rsidR="00981EA5" w:rsidRDefault="00981EA5"/>
    <w:sectPr w:rsidR="00981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28"/>
    <w:rsid w:val="00190FC1"/>
    <w:rsid w:val="00461928"/>
    <w:rsid w:val="00981EA5"/>
    <w:rsid w:val="00B7263E"/>
    <w:rsid w:val="00C85BCA"/>
    <w:rsid w:val="00F84F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9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1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9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1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en.arbeiterkammer.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AK-Wien</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HANDSCHMANN Margit</dc:creator>
  <cp:lastModifiedBy>PraktikantIn_ME</cp:lastModifiedBy>
  <cp:revision>2</cp:revision>
  <dcterms:created xsi:type="dcterms:W3CDTF">2018-07-10T13:02:00Z</dcterms:created>
  <dcterms:modified xsi:type="dcterms:W3CDTF">2018-07-10T13:02:00Z</dcterms:modified>
</cp:coreProperties>
</file>